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1FB1" w14:textId="77777777" w:rsidR="00030DE6" w:rsidRDefault="00030DE6" w:rsidP="00030DE6">
      <w:pPr>
        <w:spacing w:after="0" w:line="259" w:lineRule="auto"/>
        <w:ind w:left="0" w:firstLine="0"/>
      </w:pPr>
      <w:r>
        <w:rPr>
          <w:noProof/>
        </w:rPr>
        <w:drawing>
          <wp:anchor distT="0" distB="0" distL="114300" distR="114300" simplePos="0" relativeHeight="251661312" behindDoc="0" locked="0" layoutInCell="1" allowOverlap="0" wp14:anchorId="05D0FBB2" wp14:editId="3D549835">
            <wp:simplePos x="0" y="0"/>
            <wp:positionH relativeFrom="column">
              <wp:posOffset>73025</wp:posOffset>
            </wp:positionH>
            <wp:positionV relativeFrom="paragraph">
              <wp:posOffset>-298439</wp:posOffset>
            </wp:positionV>
            <wp:extent cx="1277359" cy="1271815"/>
            <wp:effectExtent l="0" t="0" r="0" b="0"/>
            <wp:wrapSquare wrapText="bothSides"/>
            <wp:docPr id="796277053" name="Picture 796277053"/>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5"/>
                    <a:stretch>
                      <a:fillRect/>
                    </a:stretch>
                  </pic:blipFill>
                  <pic:spPr>
                    <a:xfrm>
                      <a:off x="0" y="0"/>
                      <a:ext cx="1277359" cy="1271815"/>
                    </a:xfrm>
                    <a:prstGeom prst="rect">
                      <a:avLst/>
                    </a:prstGeom>
                  </pic:spPr>
                </pic:pic>
              </a:graphicData>
            </a:graphic>
          </wp:anchor>
        </w:drawing>
      </w:r>
      <w:r>
        <w:rPr>
          <w:sz w:val="8"/>
        </w:rPr>
        <w:t xml:space="preserve">                                                                            </w:t>
      </w:r>
      <w:r>
        <w:rPr>
          <w:color w:val="333399"/>
          <w:sz w:val="32"/>
        </w:rPr>
        <w:t>C</w:t>
      </w:r>
      <w:r>
        <w:rPr>
          <w:color w:val="333399"/>
          <w:sz w:val="26"/>
        </w:rPr>
        <w:t xml:space="preserve">OMMONWEALTH OF </w:t>
      </w:r>
      <w:r>
        <w:rPr>
          <w:color w:val="333399"/>
          <w:sz w:val="32"/>
        </w:rPr>
        <w:t>V</w:t>
      </w:r>
      <w:r>
        <w:rPr>
          <w:color w:val="333399"/>
          <w:sz w:val="26"/>
        </w:rPr>
        <w:t>IRGINIA</w:t>
      </w:r>
      <w:r>
        <w:rPr>
          <w:color w:val="333399"/>
          <w:sz w:val="32"/>
        </w:rPr>
        <w:t xml:space="preserve"> </w:t>
      </w:r>
    </w:p>
    <w:p w14:paraId="68079041" w14:textId="77777777" w:rsidR="00030DE6" w:rsidRDefault="00030DE6" w:rsidP="00030DE6">
      <w:pPr>
        <w:spacing w:after="22" w:line="259" w:lineRule="auto"/>
        <w:ind w:left="125" w:right="441" w:hanging="10"/>
        <w:jc w:val="center"/>
      </w:pPr>
      <w:r>
        <w:rPr>
          <w:color w:val="333399"/>
          <w:sz w:val="40"/>
        </w:rPr>
        <w:t>J</w:t>
      </w:r>
      <w:r>
        <w:rPr>
          <w:color w:val="333399"/>
          <w:sz w:val="32"/>
        </w:rPr>
        <w:t xml:space="preserve">OINT </w:t>
      </w:r>
      <w:r>
        <w:rPr>
          <w:color w:val="333399"/>
          <w:sz w:val="40"/>
        </w:rPr>
        <w:t>L</w:t>
      </w:r>
      <w:r>
        <w:rPr>
          <w:color w:val="333399"/>
          <w:sz w:val="32"/>
        </w:rPr>
        <w:t xml:space="preserve">EADERSHIP </w:t>
      </w:r>
      <w:r>
        <w:rPr>
          <w:color w:val="333399"/>
          <w:sz w:val="40"/>
        </w:rPr>
        <w:t>C</w:t>
      </w:r>
      <w:r>
        <w:rPr>
          <w:color w:val="333399"/>
          <w:sz w:val="32"/>
        </w:rPr>
        <w:t>OUNCIL OF</w:t>
      </w:r>
    </w:p>
    <w:p w14:paraId="05360E58" w14:textId="77777777" w:rsidR="00030DE6" w:rsidRDefault="00030DE6" w:rsidP="00030DE6">
      <w:pPr>
        <w:spacing w:after="76" w:line="259" w:lineRule="auto"/>
        <w:ind w:left="125" w:right="-15" w:hanging="10"/>
        <w:jc w:val="center"/>
      </w:pPr>
      <w:r>
        <w:rPr>
          <w:color w:val="333399"/>
          <w:sz w:val="40"/>
        </w:rPr>
        <w:t>V</w:t>
      </w:r>
      <w:r>
        <w:rPr>
          <w:color w:val="333399"/>
          <w:sz w:val="32"/>
        </w:rPr>
        <w:t xml:space="preserve">ETERANS </w:t>
      </w:r>
      <w:r>
        <w:rPr>
          <w:color w:val="333399"/>
          <w:sz w:val="40"/>
        </w:rPr>
        <w:t>S</w:t>
      </w:r>
      <w:r>
        <w:rPr>
          <w:color w:val="333399"/>
          <w:sz w:val="32"/>
        </w:rPr>
        <w:t xml:space="preserve">ERVICE </w:t>
      </w:r>
      <w:r>
        <w:rPr>
          <w:color w:val="333399"/>
          <w:sz w:val="40"/>
        </w:rPr>
        <w:t>O</w:t>
      </w:r>
      <w:r>
        <w:rPr>
          <w:color w:val="333399"/>
          <w:sz w:val="32"/>
        </w:rPr>
        <w:t>RGANIZATIONS</w:t>
      </w:r>
    </w:p>
    <w:p w14:paraId="581E41D8" w14:textId="715FFA19" w:rsidR="00030DE6" w:rsidRDefault="00030DE6"/>
    <w:p w14:paraId="0290A883" w14:textId="77777777" w:rsidR="00030DE6" w:rsidRDefault="00030DE6"/>
    <w:p w14:paraId="522A8116" w14:textId="77777777" w:rsidR="00030DE6" w:rsidRPr="00030DE6" w:rsidRDefault="00030DE6" w:rsidP="00030DE6">
      <w:pPr>
        <w:keepNext/>
        <w:keepLines/>
        <w:spacing w:after="0" w:line="259" w:lineRule="auto"/>
        <w:ind w:left="66" w:hanging="10"/>
        <w:jc w:val="center"/>
        <w:outlineLvl w:val="0"/>
        <w:rPr>
          <w:b/>
          <w:sz w:val="28"/>
          <w:u w:val="single" w:color="000000"/>
        </w:rPr>
      </w:pPr>
      <w:r w:rsidRPr="00030DE6">
        <w:rPr>
          <w:b/>
          <w:sz w:val="28"/>
          <w:u w:val="single" w:color="000000"/>
        </w:rPr>
        <w:t>JLC Initiative 2026-01</w:t>
      </w:r>
    </w:p>
    <w:p w14:paraId="43A707A0" w14:textId="77777777" w:rsidR="00030DE6" w:rsidRPr="00030DE6" w:rsidRDefault="00030DE6" w:rsidP="00030DE6">
      <w:pPr>
        <w:keepNext/>
        <w:keepLines/>
        <w:spacing w:after="0" w:line="259" w:lineRule="auto"/>
        <w:ind w:left="66" w:hanging="10"/>
        <w:jc w:val="center"/>
        <w:outlineLvl w:val="0"/>
        <w:rPr>
          <w:color w:val="333399"/>
          <w:sz w:val="18"/>
        </w:rPr>
      </w:pPr>
      <w:r w:rsidRPr="00030DE6">
        <w:rPr>
          <w:b/>
          <w:sz w:val="28"/>
        </w:rPr>
        <w:t xml:space="preserve"> </w:t>
      </w:r>
      <w:r w:rsidRPr="00030DE6">
        <w:rPr>
          <w:b/>
          <w:sz w:val="28"/>
          <w:u w:val="single" w:color="000000"/>
        </w:rPr>
        <w:t>Stop Unscrupulous Firms from Exploiting Veterans</w:t>
      </w:r>
      <w:r w:rsidRPr="00030DE6">
        <w:rPr>
          <w:b/>
          <w:sz w:val="28"/>
        </w:rPr>
        <w:t xml:space="preserve"> </w:t>
      </w:r>
    </w:p>
    <w:p w14:paraId="79DC6EC5" w14:textId="77777777" w:rsidR="00030DE6" w:rsidRPr="00030DE6" w:rsidRDefault="00030DE6" w:rsidP="00030DE6">
      <w:pPr>
        <w:spacing w:after="56" w:line="259" w:lineRule="auto"/>
        <w:ind w:left="0" w:firstLine="0"/>
      </w:pPr>
      <w:r w:rsidRPr="00030DE6">
        <w:rPr>
          <w:sz w:val="16"/>
        </w:rPr>
        <w:t xml:space="preserve"> </w:t>
      </w:r>
    </w:p>
    <w:p w14:paraId="1892801E" w14:textId="77777777" w:rsidR="00030DE6" w:rsidRPr="00030DE6" w:rsidRDefault="00030DE6" w:rsidP="00030DE6">
      <w:pPr>
        <w:ind w:left="0" w:firstLine="0"/>
      </w:pPr>
      <w:r w:rsidRPr="00030DE6">
        <w:rPr>
          <w:b/>
          <w:u w:val="single" w:color="000000"/>
        </w:rPr>
        <w:t>OBJECTIVE</w:t>
      </w:r>
      <w:r w:rsidRPr="00030DE6">
        <w:t xml:space="preserve">: Prohibit ‘Claim Shark’ companies from preying on veterans seeking to obtain or modify their VA entitlements.   </w:t>
      </w:r>
    </w:p>
    <w:p w14:paraId="4749BED0" w14:textId="77777777" w:rsidR="00030DE6" w:rsidRPr="00030DE6" w:rsidRDefault="00030DE6" w:rsidP="00030DE6">
      <w:pPr>
        <w:spacing w:after="105" w:line="259" w:lineRule="auto"/>
        <w:ind w:left="0" w:firstLine="0"/>
      </w:pPr>
      <w:r w:rsidRPr="00030DE6">
        <w:rPr>
          <w:sz w:val="12"/>
        </w:rPr>
        <w:t xml:space="preserve"> </w:t>
      </w:r>
    </w:p>
    <w:p w14:paraId="732A0913" w14:textId="77777777" w:rsidR="00030DE6" w:rsidRPr="00030DE6" w:rsidRDefault="00030DE6" w:rsidP="00030DE6">
      <w:pPr>
        <w:spacing w:after="0" w:line="259" w:lineRule="auto"/>
        <w:ind w:left="-5" w:hanging="10"/>
      </w:pPr>
      <w:r w:rsidRPr="00030DE6">
        <w:rPr>
          <w:b/>
          <w:u w:val="single" w:color="000000"/>
        </w:rPr>
        <w:t>BACKGROUND</w:t>
      </w:r>
      <w:r w:rsidRPr="00030DE6">
        <w:rPr>
          <w:u w:val="single" w:color="000000"/>
        </w:rPr>
        <w:t>:</w:t>
      </w:r>
      <w:r w:rsidRPr="00030DE6">
        <w:t xml:space="preserve"> </w:t>
      </w:r>
    </w:p>
    <w:p w14:paraId="2EAB241A" w14:textId="77777777" w:rsidR="00030DE6" w:rsidRPr="00030DE6" w:rsidRDefault="00030DE6" w:rsidP="00030DE6">
      <w:pPr>
        <w:spacing w:after="1" w:line="259" w:lineRule="auto"/>
        <w:ind w:left="0" w:firstLine="0"/>
      </w:pPr>
      <w:r w:rsidRPr="00030DE6">
        <w:t xml:space="preserve"> </w:t>
      </w:r>
    </w:p>
    <w:p w14:paraId="7694B935" w14:textId="77777777" w:rsidR="00030DE6" w:rsidRPr="00030DE6" w:rsidRDefault="00030DE6" w:rsidP="00030DE6">
      <w:pPr>
        <w:numPr>
          <w:ilvl w:val="0"/>
          <w:numId w:val="1"/>
        </w:numPr>
        <w:ind w:hanging="360"/>
      </w:pPr>
      <w:r w:rsidRPr="00030DE6">
        <w:t xml:space="preserve">These companies propose contracts beyond the scope of what the VA allows under federal law and </w:t>
      </w:r>
      <w:proofErr w:type="gramStart"/>
      <w:r w:rsidRPr="00030DE6">
        <w:t>do</w:t>
      </w:r>
      <w:proofErr w:type="gramEnd"/>
      <w:r w:rsidRPr="00030DE6">
        <w:t xml:space="preserve"> not file powers of attorney or fee agreements with the VA as is required for those accredited agencies who charge allowed fees. </w:t>
      </w:r>
    </w:p>
    <w:p w14:paraId="42921632" w14:textId="77777777" w:rsidR="00030DE6" w:rsidRPr="00030DE6" w:rsidRDefault="00030DE6" w:rsidP="00030DE6">
      <w:pPr>
        <w:numPr>
          <w:ilvl w:val="0"/>
          <w:numId w:val="1"/>
        </w:numPr>
        <w:ind w:hanging="360"/>
      </w:pPr>
      <w:r w:rsidRPr="00030DE6">
        <w:t xml:space="preserve">Marketing practices of these companies are considered predatory by regulatory and consumer protection entities because promises of no-cost consultations or guarantees of increased benefits are hollow and do, in fact, come with fees attached – often in the form of a percentage of the veteran’s monthly disability compensation. </w:t>
      </w:r>
    </w:p>
    <w:p w14:paraId="796A6463" w14:textId="77777777" w:rsidR="00030DE6" w:rsidRPr="00030DE6" w:rsidRDefault="00030DE6" w:rsidP="00030DE6">
      <w:pPr>
        <w:numPr>
          <w:ilvl w:val="0"/>
          <w:numId w:val="1"/>
        </w:numPr>
        <w:ind w:hanging="360"/>
      </w:pPr>
      <w:r w:rsidRPr="00030DE6">
        <w:t xml:space="preserve">Many of these companies often ask veterans for sensitive usernames and passwords for their </w:t>
      </w:r>
      <w:proofErr w:type="spellStart"/>
      <w:r w:rsidRPr="00030DE6">
        <w:t>eBenefits</w:t>
      </w:r>
      <w:proofErr w:type="spellEnd"/>
      <w:r w:rsidRPr="00030DE6">
        <w:t xml:space="preserve"> or VA.gov accounts. Such access </w:t>
      </w:r>
      <w:proofErr w:type="gramStart"/>
      <w:r w:rsidRPr="00030DE6">
        <w:t>allow</w:t>
      </w:r>
      <w:proofErr w:type="gramEnd"/>
      <w:r w:rsidRPr="00030DE6">
        <w:t xml:space="preserve"> these companies to circumvent VA policies and cybersecurity access controls, permit access to veterans’ sensitive and restricted information, expose personal identifying information (PII) and protected health information (PHI) to unauthorized users and criminal elements, and potentially violate numerous federal consumer protection statutes. </w:t>
      </w:r>
    </w:p>
    <w:p w14:paraId="019A1D35" w14:textId="77777777" w:rsidR="00030DE6" w:rsidRPr="00030DE6" w:rsidRDefault="00030DE6" w:rsidP="00030DE6">
      <w:pPr>
        <w:numPr>
          <w:ilvl w:val="0"/>
          <w:numId w:val="1"/>
        </w:numPr>
        <w:ind w:hanging="360"/>
      </w:pPr>
      <w:r w:rsidRPr="00030DE6">
        <w:t xml:space="preserve">The Virginia Department of Veterans Services and Veterans Service Organizations across the Commonwealth provide VA accredited representatives who file claims for veterans, free of charge </w:t>
      </w:r>
    </w:p>
    <w:p w14:paraId="105F3BD2" w14:textId="77777777" w:rsidR="00030DE6" w:rsidRPr="00030DE6" w:rsidRDefault="00030DE6" w:rsidP="00030DE6">
      <w:pPr>
        <w:spacing w:after="0" w:line="259" w:lineRule="auto"/>
        <w:ind w:left="720" w:firstLine="0"/>
      </w:pPr>
      <w:r w:rsidRPr="00030DE6">
        <w:t xml:space="preserve"> </w:t>
      </w:r>
    </w:p>
    <w:p w14:paraId="3086984B" w14:textId="77777777" w:rsidR="00030DE6" w:rsidRPr="00030DE6" w:rsidRDefault="00030DE6" w:rsidP="00030DE6">
      <w:pPr>
        <w:spacing w:after="0" w:line="259" w:lineRule="auto"/>
        <w:ind w:left="-5" w:hanging="10"/>
      </w:pPr>
      <w:r w:rsidRPr="00030DE6">
        <w:rPr>
          <w:b/>
          <w:u w:val="single" w:color="000000"/>
        </w:rPr>
        <w:t>DISCUSSION</w:t>
      </w:r>
      <w:r w:rsidRPr="00030DE6">
        <w:rPr>
          <w:u w:val="single" w:color="000000"/>
        </w:rPr>
        <w:t>:</w:t>
      </w:r>
      <w:r w:rsidRPr="00030DE6">
        <w:t xml:space="preserve"> </w:t>
      </w:r>
    </w:p>
    <w:p w14:paraId="368D52A5" w14:textId="77777777" w:rsidR="00030DE6" w:rsidRPr="00030DE6" w:rsidRDefault="00030DE6" w:rsidP="00030DE6">
      <w:pPr>
        <w:ind w:left="0" w:firstLine="0"/>
      </w:pPr>
      <w:r w:rsidRPr="00030DE6">
        <w:t xml:space="preserve">Veterans who believe they have been scammed have little recourse.  Many of these     contracts include binding arbitration clauses designed to compel payment. Some contracts go so far as to include clauses that prohibit veterans from disclosing terms of the agreements or even speaking negatively about a company or their experiences without risking defamation litigation. </w:t>
      </w:r>
    </w:p>
    <w:p w14:paraId="66A85A85" w14:textId="77777777" w:rsidR="00030DE6" w:rsidRPr="00030DE6" w:rsidRDefault="00030DE6" w:rsidP="00030DE6">
      <w:pPr>
        <w:spacing w:after="103" w:line="259" w:lineRule="auto"/>
        <w:ind w:left="0" w:firstLine="0"/>
      </w:pPr>
      <w:r w:rsidRPr="00030DE6">
        <w:rPr>
          <w:sz w:val="12"/>
        </w:rPr>
        <w:t xml:space="preserve"> </w:t>
      </w:r>
    </w:p>
    <w:p w14:paraId="63A588EA" w14:textId="77777777" w:rsidR="00030DE6" w:rsidRDefault="00030DE6" w:rsidP="00030DE6">
      <w:pPr>
        <w:ind w:left="0" w:firstLine="0"/>
      </w:pPr>
      <w:r w:rsidRPr="00030DE6">
        <w:rPr>
          <w:b/>
          <w:u w:val="single" w:color="000000"/>
        </w:rPr>
        <w:t>RECOMMENDATION</w:t>
      </w:r>
      <w:r w:rsidRPr="00030DE6">
        <w:t xml:space="preserve">: That the Governor and General Assembly propose and pass language that prohibits these Claim Shark companies from operating in Virginia. </w:t>
      </w:r>
    </w:p>
    <w:p w14:paraId="344B4CD2" w14:textId="77777777" w:rsidR="00030DE6" w:rsidRDefault="00030DE6" w:rsidP="00030DE6">
      <w:pPr>
        <w:ind w:left="0" w:firstLine="0"/>
      </w:pPr>
    </w:p>
    <w:p w14:paraId="6930528C" w14:textId="77777777" w:rsidR="00030DE6" w:rsidRDefault="00030DE6" w:rsidP="00030DE6">
      <w:pPr>
        <w:ind w:left="0" w:firstLine="0"/>
      </w:pPr>
    </w:p>
    <w:p w14:paraId="6DD9E565" w14:textId="77777777" w:rsidR="00030DE6" w:rsidRDefault="00030DE6" w:rsidP="00030DE6">
      <w:pPr>
        <w:ind w:left="0" w:firstLine="0"/>
      </w:pPr>
    </w:p>
    <w:p w14:paraId="1837E55C" w14:textId="77777777" w:rsidR="00030DE6" w:rsidRDefault="00030DE6" w:rsidP="00030DE6">
      <w:pPr>
        <w:ind w:left="0" w:firstLine="0"/>
      </w:pPr>
    </w:p>
    <w:p w14:paraId="0BEE4170" w14:textId="77777777" w:rsidR="00030DE6" w:rsidRPr="00325AF3" w:rsidRDefault="00030DE6" w:rsidP="00030DE6">
      <w:pPr>
        <w:spacing w:after="0" w:line="259" w:lineRule="auto"/>
        <w:ind w:left="162" w:firstLine="0"/>
        <w:jc w:val="center"/>
        <w:rPr>
          <w:rFonts w:ascii="Calibri" w:eastAsia="Calibri" w:hAnsi="Calibri" w:cs="Calibri"/>
          <w:sz w:val="22"/>
        </w:rPr>
      </w:pPr>
      <w:r w:rsidRPr="00325AF3">
        <w:rPr>
          <w:b/>
          <w:sz w:val="29"/>
          <w:u w:val="single" w:color="000000"/>
        </w:rPr>
        <w:lastRenderedPageBreak/>
        <w:t>JLC Initiative 2026-02</w:t>
      </w:r>
      <w:r w:rsidRPr="00325AF3">
        <w:rPr>
          <w:b/>
          <w:sz w:val="29"/>
        </w:rPr>
        <w:t xml:space="preserve"> </w:t>
      </w:r>
    </w:p>
    <w:p w14:paraId="4E512FDE" w14:textId="77777777" w:rsidR="00030DE6" w:rsidRPr="00325AF3" w:rsidRDefault="00030DE6" w:rsidP="00030DE6">
      <w:pPr>
        <w:keepNext/>
        <w:keepLines/>
        <w:spacing w:after="489" w:line="259" w:lineRule="auto"/>
        <w:ind w:left="0" w:right="3" w:firstLine="0"/>
        <w:jc w:val="center"/>
        <w:outlineLvl w:val="0"/>
        <w:rPr>
          <w:color w:val="333399"/>
          <w:sz w:val="18"/>
        </w:rPr>
      </w:pPr>
      <w:r w:rsidRPr="00325AF3">
        <w:rPr>
          <w:b/>
          <w:sz w:val="28"/>
          <w:u w:val="single" w:color="000000"/>
        </w:rPr>
        <w:t>Veteran Suicide Death Information Access</w:t>
      </w:r>
      <w:r w:rsidRPr="00325AF3">
        <w:rPr>
          <w:b/>
          <w:sz w:val="28"/>
        </w:rPr>
        <w:t xml:space="preserve"> </w:t>
      </w:r>
    </w:p>
    <w:p w14:paraId="1BA62ABF" w14:textId="77777777" w:rsidR="00030DE6" w:rsidRPr="00325AF3" w:rsidRDefault="00030DE6" w:rsidP="00030DE6">
      <w:pPr>
        <w:spacing w:after="2"/>
        <w:ind w:left="-5" w:right="-14" w:hanging="10"/>
        <w:jc w:val="both"/>
        <w:rPr>
          <w:rFonts w:ascii="Calibri" w:eastAsia="Calibri" w:hAnsi="Calibri" w:cs="Calibri"/>
          <w:sz w:val="22"/>
        </w:rPr>
      </w:pPr>
      <w:r w:rsidRPr="00325AF3">
        <w:rPr>
          <w:b/>
          <w:u w:val="single" w:color="000000"/>
        </w:rPr>
        <w:t>OBJECTIVE</w:t>
      </w:r>
      <w:r w:rsidRPr="00325AF3">
        <w:rPr>
          <w:b/>
        </w:rPr>
        <w:t xml:space="preserve">: </w:t>
      </w:r>
      <w:r w:rsidRPr="00325AF3">
        <w:t xml:space="preserve">To ensure access to Vital Record death certificates, medical certifications, and Investigations by Office of the Chief Medical Examiner for the Department of Veterans Services Suicide Prevention Program (the Program). This data will be used by the Program to review, analyze, and disseminate timely federal, state, and local data on the quantity, common causes, and methods of suicide utilized among military members, veterans, and their family members.   </w:t>
      </w:r>
    </w:p>
    <w:p w14:paraId="50C2A5B8" w14:textId="77777777" w:rsidR="00030DE6" w:rsidRPr="00325AF3" w:rsidRDefault="00030DE6" w:rsidP="00030DE6">
      <w:pPr>
        <w:spacing w:after="0" w:line="259" w:lineRule="auto"/>
        <w:ind w:left="336" w:firstLine="0"/>
        <w:rPr>
          <w:rFonts w:ascii="Calibri" w:eastAsia="Calibri" w:hAnsi="Calibri" w:cs="Calibri"/>
          <w:sz w:val="22"/>
        </w:rPr>
      </w:pPr>
      <w:r w:rsidRPr="00325AF3">
        <w:t xml:space="preserve"> </w:t>
      </w:r>
    </w:p>
    <w:p w14:paraId="565C76DC" w14:textId="77777777" w:rsidR="00030DE6" w:rsidRPr="00325AF3" w:rsidRDefault="00030DE6" w:rsidP="00030DE6">
      <w:pPr>
        <w:spacing w:after="10" w:line="249" w:lineRule="auto"/>
        <w:ind w:left="-5" w:hanging="10"/>
        <w:rPr>
          <w:rFonts w:ascii="Calibri" w:eastAsia="Calibri" w:hAnsi="Calibri" w:cs="Calibri"/>
          <w:sz w:val="22"/>
        </w:rPr>
      </w:pPr>
      <w:r w:rsidRPr="00325AF3">
        <w:rPr>
          <w:b/>
          <w:u w:val="single" w:color="000000"/>
        </w:rPr>
        <w:t>BACKGROUND</w:t>
      </w:r>
      <w:r w:rsidRPr="00325AF3">
        <w:rPr>
          <w:b/>
        </w:rPr>
        <w:t xml:space="preserve">: </w:t>
      </w:r>
      <w:r w:rsidRPr="00325AF3">
        <w:t xml:space="preserve">The Governor’s Challenge to Prevent Suicide among Service </w:t>
      </w:r>
    </w:p>
    <w:p w14:paraId="3448A8CB" w14:textId="77777777" w:rsidR="00030DE6" w:rsidRPr="00325AF3" w:rsidRDefault="00030DE6" w:rsidP="00030DE6">
      <w:pPr>
        <w:spacing w:after="266" w:line="249" w:lineRule="auto"/>
        <w:ind w:left="-5" w:hanging="10"/>
        <w:rPr>
          <w:rFonts w:ascii="Calibri" w:eastAsia="Calibri" w:hAnsi="Calibri" w:cs="Calibri"/>
          <w:sz w:val="22"/>
        </w:rPr>
      </w:pPr>
      <w:r w:rsidRPr="00325AF3">
        <w:t xml:space="preserve">Members, Veterans, and their Families (Governor’s Challenge) has yielded success in coordinating the efforts of state, federal, and local government agencies, non-profits, and other partners to prevent suicide, with a dedicated state SMVF prevention coordinator in the Virginia Department of Veterans Services (VDVS) established by legislation in 2022.  The Program is now developing a Suicide Mortality Review (SMR) process in coordination with the Virginia Department of Health (VDH) and the U.S. Department of Veteran Affairs that will review and analyze veteran suicide data in an effort to determine patterns of causal factors as a potential for early identification to impact prevention, intervention and postvention services.  </w:t>
      </w:r>
    </w:p>
    <w:p w14:paraId="6280498A" w14:textId="77777777" w:rsidR="00030DE6" w:rsidRPr="00325AF3" w:rsidRDefault="00030DE6" w:rsidP="00030DE6">
      <w:pPr>
        <w:spacing w:after="280"/>
        <w:ind w:left="-5" w:right="-14" w:hanging="10"/>
        <w:jc w:val="both"/>
        <w:rPr>
          <w:rFonts w:ascii="Calibri" w:eastAsia="Calibri" w:hAnsi="Calibri" w:cs="Calibri"/>
          <w:sz w:val="22"/>
        </w:rPr>
      </w:pPr>
      <w:r w:rsidRPr="00325AF3">
        <w:rPr>
          <w:b/>
          <w:u w:val="single" w:color="000000"/>
        </w:rPr>
        <w:t>DISCUSSION</w:t>
      </w:r>
      <w:r w:rsidRPr="00325AF3">
        <w:rPr>
          <w:b/>
        </w:rPr>
        <w:t xml:space="preserve">: </w:t>
      </w:r>
      <w:r w:rsidRPr="00325AF3">
        <w:t xml:space="preserve">If suicide data, including lifestyle, family relationships, mental and physical health, prior access to mental health support, financial status and employment, and cause of death can be used to determine and identify those individuals most at risk, appropriate resources can be more accurately focused on early identification and prevention by providing essential support services to our veteran community.     </w:t>
      </w:r>
    </w:p>
    <w:p w14:paraId="4386E694" w14:textId="77777777" w:rsidR="00397702" w:rsidRDefault="00030DE6" w:rsidP="00397702">
      <w:pPr>
        <w:spacing w:after="0"/>
      </w:pPr>
      <w:r w:rsidRPr="00325AF3">
        <w:rPr>
          <w:b/>
          <w:u w:val="single" w:color="000000"/>
        </w:rPr>
        <w:t>RECOMMENDATION</w:t>
      </w:r>
      <w:r w:rsidRPr="00325AF3">
        <w:rPr>
          <w:b/>
        </w:rPr>
        <w:t xml:space="preserve">: </w:t>
      </w:r>
      <w:r w:rsidRPr="00325AF3">
        <w:t xml:space="preserve">That the Governor and General Assembly require that the Virginia </w:t>
      </w:r>
    </w:p>
    <w:p w14:paraId="61E4FE5D" w14:textId="77777777" w:rsidR="00397702" w:rsidRDefault="00030DE6" w:rsidP="00397702">
      <w:pPr>
        <w:spacing w:after="0"/>
      </w:pPr>
      <w:r w:rsidRPr="00325AF3">
        <w:t xml:space="preserve">Department of Veterans Services and the Virginia Department of Health work in partnership with </w:t>
      </w:r>
    </w:p>
    <w:p w14:paraId="60E9A68A" w14:textId="77777777" w:rsidR="00397702" w:rsidRDefault="00030DE6" w:rsidP="00397702">
      <w:pPr>
        <w:spacing w:after="0"/>
      </w:pPr>
      <w:r w:rsidRPr="00325AF3">
        <w:t xml:space="preserve">local and state police, funeral directors and the Chief Medical Examiner’s office to ensure timely </w:t>
      </w:r>
    </w:p>
    <w:p w14:paraId="62E9D1ED" w14:textId="77777777" w:rsidR="00397702" w:rsidRDefault="00030DE6" w:rsidP="00397702">
      <w:pPr>
        <w:spacing w:after="0"/>
      </w:pPr>
      <w:r w:rsidRPr="00325AF3">
        <w:t xml:space="preserve">data on veteran death is provided for detailed review and analysis by the SMR Committee.  This </w:t>
      </w:r>
    </w:p>
    <w:p w14:paraId="657D7C4D" w14:textId="77777777" w:rsidR="00397702" w:rsidRDefault="00030DE6" w:rsidP="00397702">
      <w:pPr>
        <w:spacing w:after="0"/>
      </w:pPr>
      <w:r w:rsidRPr="00325AF3">
        <w:t xml:space="preserve">also requires that the Program, through the Department of Veterans Services provide an annual </w:t>
      </w:r>
    </w:p>
    <w:p w14:paraId="6B9DFB48" w14:textId="77777777" w:rsidR="00397702" w:rsidRDefault="00030DE6" w:rsidP="00397702">
      <w:pPr>
        <w:spacing w:after="0"/>
      </w:pPr>
      <w:r w:rsidRPr="00325AF3">
        <w:t xml:space="preserve">update to the General Assembly, the Governor’s Office as well as statewide outreach to promote </w:t>
      </w:r>
    </w:p>
    <w:p w14:paraId="6A502C06" w14:textId="1A167BF4" w:rsidR="00030DE6" w:rsidRDefault="00030DE6" w:rsidP="00397702">
      <w:pPr>
        <w:spacing w:after="0"/>
      </w:pPr>
      <w:r w:rsidRPr="00325AF3">
        <w:t>suicide prevention and awareness.</w:t>
      </w:r>
    </w:p>
    <w:p w14:paraId="38A4FF61" w14:textId="77777777" w:rsidR="00030DE6" w:rsidRDefault="00030DE6" w:rsidP="00030DE6">
      <w:pPr>
        <w:jc w:val="both"/>
      </w:pPr>
    </w:p>
    <w:p w14:paraId="1083D36E" w14:textId="77777777" w:rsidR="00030DE6" w:rsidRDefault="00030DE6" w:rsidP="00030DE6">
      <w:pPr>
        <w:jc w:val="both"/>
      </w:pPr>
    </w:p>
    <w:p w14:paraId="0C274244" w14:textId="77777777" w:rsidR="009D0AEA" w:rsidRDefault="009D0AEA" w:rsidP="00030DE6">
      <w:pPr>
        <w:keepNext/>
        <w:keepLines/>
        <w:spacing w:after="0" w:line="259" w:lineRule="auto"/>
        <w:ind w:left="0" w:right="4" w:firstLine="0"/>
        <w:jc w:val="center"/>
        <w:outlineLvl w:val="0"/>
        <w:rPr>
          <w:b/>
          <w:sz w:val="28"/>
          <w:u w:val="single" w:color="000000"/>
        </w:rPr>
      </w:pPr>
    </w:p>
    <w:p w14:paraId="1BE92679" w14:textId="77777777" w:rsidR="009D0AEA" w:rsidRDefault="009D0AEA" w:rsidP="00030DE6">
      <w:pPr>
        <w:keepNext/>
        <w:keepLines/>
        <w:spacing w:after="0" w:line="259" w:lineRule="auto"/>
        <w:ind w:left="0" w:right="4" w:firstLine="0"/>
        <w:jc w:val="center"/>
        <w:outlineLvl w:val="0"/>
        <w:rPr>
          <w:b/>
          <w:sz w:val="28"/>
          <w:u w:val="single" w:color="000000"/>
        </w:rPr>
      </w:pPr>
    </w:p>
    <w:p w14:paraId="702812AE" w14:textId="77777777" w:rsidR="009D0AEA" w:rsidRDefault="009D0AEA" w:rsidP="00030DE6">
      <w:pPr>
        <w:keepNext/>
        <w:keepLines/>
        <w:spacing w:after="0" w:line="259" w:lineRule="auto"/>
        <w:ind w:left="0" w:right="4" w:firstLine="0"/>
        <w:jc w:val="center"/>
        <w:outlineLvl w:val="0"/>
        <w:rPr>
          <w:b/>
          <w:sz w:val="28"/>
          <w:u w:val="single" w:color="000000"/>
        </w:rPr>
      </w:pPr>
    </w:p>
    <w:p w14:paraId="56B00AF6" w14:textId="77777777" w:rsidR="009D0AEA" w:rsidRDefault="009D0AEA" w:rsidP="00030DE6">
      <w:pPr>
        <w:keepNext/>
        <w:keepLines/>
        <w:spacing w:after="0" w:line="259" w:lineRule="auto"/>
        <w:ind w:left="0" w:right="4" w:firstLine="0"/>
        <w:jc w:val="center"/>
        <w:outlineLvl w:val="0"/>
        <w:rPr>
          <w:b/>
          <w:sz w:val="28"/>
          <w:u w:val="single" w:color="000000"/>
        </w:rPr>
      </w:pPr>
    </w:p>
    <w:p w14:paraId="5E1B5311" w14:textId="77777777" w:rsidR="009D0AEA" w:rsidRDefault="009D0AEA" w:rsidP="00030DE6">
      <w:pPr>
        <w:keepNext/>
        <w:keepLines/>
        <w:spacing w:after="0" w:line="259" w:lineRule="auto"/>
        <w:ind w:left="0" w:right="4" w:firstLine="0"/>
        <w:jc w:val="center"/>
        <w:outlineLvl w:val="0"/>
        <w:rPr>
          <w:b/>
          <w:sz w:val="28"/>
          <w:u w:val="single" w:color="000000"/>
        </w:rPr>
      </w:pPr>
    </w:p>
    <w:p w14:paraId="37A9AB6D" w14:textId="77777777" w:rsidR="009D0AEA" w:rsidRDefault="009D0AEA" w:rsidP="00030DE6">
      <w:pPr>
        <w:keepNext/>
        <w:keepLines/>
        <w:spacing w:after="0" w:line="259" w:lineRule="auto"/>
        <w:ind w:left="0" w:right="4" w:firstLine="0"/>
        <w:jc w:val="center"/>
        <w:outlineLvl w:val="0"/>
        <w:rPr>
          <w:b/>
          <w:sz w:val="28"/>
          <w:u w:val="single" w:color="000000"/>
        </w:rPr>
      </w:pPr>
    </w:p>
    <w:p w14:paraId="13A743B0" w14:textId="77777777" w:rsidR="00030DE6" w:rsidRDefault="00030DE6" w:rsidP="00030DE6">
      <w:pPr>
        <w:jc w:val="both"/>
      </w:pPr>
    </w:p>
    <w:p w14:paraId="7387A72F" w14:textId="77777777" w:rsidR="009D0AEA" w:rsidRDefault="009D0AEA" w:rsidP="00030DE6">
      <w:pPr>
        <w:jc w:val="both"/>
      </w:pPr>
    </w:p>
    <w:p w14:paraId="5FA65559" w14:textId="77777777" w:rsidR="009D0AEA" w:rsidRDefault="009D0AEA" w:rsidP="00030DE6">
      <w:pPr>
        <w:jc w:val="both"/>
      </w:pPr>
    </w:p>
    <w:p w14:paraId="587A8C79" w14:textId="77777777" w:rsidR="009D0AEA" w:rsidRDefault="009D0AEA" w:rsidP="009D0AEA">
      <w:pPr>
        <w:jc w:val="center"/>
        <w:rPr>
          <w:b/>
          <w:sz w:val="28"/>
          <w:u w:val="single" w:color="000000"/>
        </w:rPr>
      </w:pPr>
      <w:r>
        <w:rPr>
          <w:b/>
          <w:sz w:val="28"/>
          <w:u w:val="single" w:color="000000"/>
        </w:rPr>
        <w:lastRenderedPageBreak/>
        <w:t>JLC 2026-03</w:t>
      </w:r>
    </w:p>
    <w:p w14:paraId="47B819E5" w14:textId="0EC9381E" w:rsidR="00030DE6" w:rsidRDefault="009D0AEA" w:rsidP="009D0AEA">
      <w:pPr>
        <w:jc w:val="center"/>
        <w:rPr>
          <w:b/>
          <w:sz w:val="28"/>
          <w:u w:val="single" w:color="000000"/>
        </w:rPr>
      </w:pPr>
      <w:r w:rsidRPr="009F5E41">
        <w:rPr>
          <w:b/>
          <w:sz w:val="28"/>
          <w:u w:val="single" w:color="000000"/>
        </w:rPr>
        <w:t>Veteran Textbook Support Grant</w:t>
      </w:r>
    </w:p>
    <w:p w14:paraId="19E71862" w14:textId="77777777" w:rsidR="009D0AEA" w:rsidRDefault="009D0AEA" w:rsidP="00030DE6">
      <w:pPr>
        <w:jc w:val="both"/>
      </w:pPr>
    </w:p>
    <w:p w14:paraId="7C4E34A5" w14:textId="77777777" w:rsidR="00030DE6" w:rsidRPr="009F5E41" w:rsidRDefault="00030DE6" w:rsidP="00030DE6">
      <w:pPr>
        <w:spacing w:after="0" w:line="248" w:lineRule="auto"/>
        <w:ind w:left="-5" w:hanging="10"/>
        <w:jc w:val="both"/>
        <w:rPr>
          <w:rFonts w:ascii="Calibri" w:eastAsia="Calibri" w:hAnsi="Calibri" w:cs="Calibri"/>
          <w:sz w:val="22"/>
        </w:rPr>
      </w:pPr>
      <w:r w:rsidRPr="009F5E41">
        <w:rPr>
          <w:b/>
          <w:sz w:val="23"/>
          <w:u w:val="single" w:color="000000"/>
        </w:rPr>
        <w:t>OBJECTIVE</w:t>
      </w:r>
      <w:r w:rsidRPr="009F5E41">
        <w:rPr>
          <w:b/>
          <w:sz w:val="23"/>
        </w:rPr>
        <w:t xml:space="preserve">:  </w:t>
      </w:r>
      <w:r w:rsidRPr="009F5E41">
        <w:rPr>
          <w:sz w:val="23"/>
        </w:rPr>
        <w:t xml:space="preserve">To establish a Veterans Textbook Support Grant in Virginia, providing financial assistance for textbooks and course materials to address a critical unmet need among student veterans, strengthen educational outcomes, and align Virginia with neighboring states that already offer veteran-specific education benefits. </w:t>
      </w:r>
    </w:p>
    <w:p w14:paraId="5F469E97" w14:textId="77777777" w:rsidR="00030DE6" w:rsidRPr="009F5E41" w:rsidRDefault="00030DE6" w:rsidP="00030DE6">
      <w:pPr>
        <w:spacing w:after="0" w:line="259" w:lineRule="auto"/>
        <w:ind w:left="0" w:firstLine="0"/>
        <w:rPr>
          <w:rFonts w:ascii="Calibri" w:eastAsia="Calibri" w:hAnsi="Calibri" w:cs="Calibri"/>
          <w:sz w:val="22"/>
        </w:rPr>
      </w:pPr>
      <w:r w:rsidRPr="009F5E41">
        <w:rPr>
          <w:b/>
          <w:sz w:val="23"/>
        </w:rPr>
        <w:t xml:space="preserve"> </w:t>
      </w:r>
    </w:p>
    <w:p w14:paraId="333F026A" w14:textId="77777777" w:rsidR="00030DE6" w:rsidRPr="009F5E41" w:rsidRDefault="00030DE6" w:rsidP="00030DE6">
      <w:pPr>
        <w:spacing w:after="0" w:line="248" w:lineRule="auto"/>
        <w:ind w:left="-5" w:hanging="10"/>
        <w:jc w:val="both"/>
        <w:rPr>
          <w:rFonts w:ascii="Calibri" w:eastAsia="Calibri" w:hAnsi="Calibri" w:cs="Calibri"/>
          <w:sz w:val="22"/>
        </w:rPr>
      </w:pPr>
      <w:r w:rsidRPr="009F5E41">
        <w:rPr>
          <w:b/>
          <w:sz w:val="23"/>
          <w:u w:val="single" w:color="000000"/>
        </w:rPr>
        <w:t>BACKGROUND</w:t>
      </w:r>
      <w:r w:rsidRPr="009F5E41">
        <w:rPr>
          <w:b/>
          <w:sz w:val="23"/>
        </w:rPr>
        <w:t>:</w:t>
      </w:r>
      <w:r w:rsidRPr="009F5E41">
        <w:rPr>
          <w:sz w:val="23"/>
        </w:rPr>
        <w:t xml:space="preserve"> The average student spends approximately $1,500 annually on textbooks and course supplies. This burden often exceeds what is covered by the federal </w:t>
      </w:r>
      <w:proofErr w:type="gramStart"/>
      <w:r w:rsidRPr="009F5E41">
        <w:rPr>
          <w:sz w:val="23"/>
        </w:rPr>
        <w:t>Post-9</w:t>
      </w:r>
      <w:proofErr w:type="gramEnd"/>
      <w:r w:rsidRPr="009F5E41">
        <w:rPr>
          <w:sz w:val="23"/>
        </w:rPr>
        <w:t xml:space="preserve">/11 GI Bill’s book stipend, which caps at $1,000 per academic year. Virginia is one of only nine states in the Country that does </w:t>
      </w:r>
      <w:r w:rsidRPr="009F5E41">
        <w:rPr>
          <w:b/>
          <w:sz w:val="23"/>
        </w:rPr>
        <w:t>not</w:t>
      </w:r>
      <w:r w:rsidRPr="009F5E41">
        <w:rPr>
          <w:sz w:val="23"/>
        </w:rPr>
        <w:t xml:space="preserve"> currently offer a state</w:t>
      </w:r>
      <w:r>
        <w:rPr>
          <w:sz w:val="23"/>
        </w:rPr>
        <w:t xml:space="preserve"> </w:t>
      </w:r>
      <w:r w:rsidRPr="009F5E41">
        <w:rPr>
          <w:sz w:val="23"/>
        </w:rPr>
        <w:t xml:space="preserve">level veterans education grant. All surrounding states: including Maryland, West Virginia, North Carolina, Tennessee, and Kentucky; offer veteran-specific higher education funding. In 2022, more than 44,000 student veterans used the </w:t>
      </w:r>
      <w:proofErr w:type="gramStart"/>
      <w:r w:rsidRPr="009F5E41">
        <w:rPr>
          <w:sz w:val="23"/>
        </w:rPr>
        <w:t>Post-9</w:t>
      </w:r>
      <w:proofErr w:type="gramEnd"/>
      <w:r w:rsidRPr="009F5E41">
        <w:rPr>
          <w:sz w:val="23"/>
        </w:rPr>
        <w:t xml:space="preserve">/11 GI Bill at 304 educational institutions in Virginia. The U.S. Department of Veterans Affairs disbursed over $301 million to these schools, reflecting Virginia’s role as a national leader in veteran education. </w:t>
      </w:r>
    </w:p>
    <w:p w14:paraId="134C6424" w14:textId="77777777" w:rsidR="00030DE6" w:rsidRPr="009F5E41" w:rsidRDefault="00030DE6" w:rsidP="00030DE6">
      <w:pPr>
        <w:spacing w:after="0" w:line="259" w:lineRule="auto"/>
        <w:ind w:left="0" w:firstLine="0"/>
        <w:rPr>
          <w:rFonts w:ascii="Calibri" w:eastAsia="Calibri" w:hAnsi="Calibri" w:cs="Calibri"/>
          <w:sz w:val="22"/>
        </w:rPr>
      </w:pPr>
      <w:r w:rsidRPr="009F5E41">
        <w:rPr>
          <w:sz w:val="23"/>
        </w:rPr>
        <w:t xml:space="preserve"> </w:t>
      </w:r>
    </w:p>
    <w:p w14:paraId="74AA856D" w14:textId="77777777" w:rsidR="00030DE6" w:rsidRPr="009F5E41" w:rsidRDefault="00030DE6" w:rsidP="00030DE6">
      <w:pPr>
        <w:spacing w:after="230" w:line="248" w:lineRule="auto"/>
        <w:ind w:left="-5" w:hanging="10"/>
        <w:jc w:val="both"/>
        <w:rPr>
          <w:rFonts w:ascii="Calibri" w:eastAsia="Calibri" w:hAnsi="Calibri" w:cs="Calibri"/>
          <w:sz w:val="22"/>
        </w:rPr>
      </w:pPr>
      <w:r w:rsidRPr="009F5E41">
        <w:rPr>
          <w:b/>
          <w:sz w:val="23"/>
          <w:u w:val="single" w:color="000000"/>
        </w:rPr>
        <w:t>DISCUSSION</w:t>
      </w:r>
      <w:r w:rsidRPr="009F5E41">
        <w:rPr>
          <w:b/>
          <w:sz w:val="23"/>
        </w:rPr>
        <w:t>:</w:t>
      </w:r>
      <w:r w:rsidRPr="009F5E41">
        <w:rPr>
          <w:sz w:val="23"/>
        </w:rPr>
        <w:t xml:space="preserve"> The Veterans Textbook Support Grant would provide up to $1,000 per year</w:t>
      </w:r>
      <w:r w:rsidRPr="009F5E41">
        <w:rPr>
          <w:b/>
          <w:sz w:val="23"/>
        </w:rPr>
        <w:t xml:space="preserve"> </w:t>
      </w:r>
      <w:r w:rsidRPr="009F5E41">
        <w:rPr>
          <w:sz w:val="23"/>
        </w:rPr>
        <w:t xml:space="preserve">to help cover the out-of-pocket costs of books and course materials for eligible veterans pursuing higher education in Virginia. </w:t>
      </w:r>
    </w:p>
    <w:p w14:paraId="4CCDAA52" w14:textId="77777777" w:rsidR="00030DE6" w:rsidRPr="009F5E41" w:rsidRDefault="00030DE6" w:rsidP="00030DE6">
      <w:pPr>
        <w:spacing w:after="0" w:line="248" w:lineRule="auto"/>
        <w:ind w:left="-5" w:hanging="10"/>
        <w:jc w:val="both"/>
        <w:rPr>
          <w:rFonts w:ascii="Calibri" w:eastAsia="Calibri" w:hAnsi="Calibri" w:cs="Calibri"/>
          <w:sz w:val="22"/>
        </w:rPr>
      </w:pPr>
      <w:r w:rsidRPr="009F5E41">
        <w:rPr>
          <w:sz w:val="23"/>
        </w:rPr>
        <w:t xml:space="preserve">This initiative will: bridge the financial gap between GI Bill support and the actual cost of academic materials, reduce financial stress, and make Virginia more attractive to transitioning service members and military-connected students </w:t>
      </w:r>
    </w:p>
    <w:p w14:paraId="090BF238" w14:textId="77777777" w:rsidR="00030DE6" w:rsidRPr="009F5E41" w:rsidRDefault="00030DE6" w:rsidP="00030DE6">
      <w:pPr>
        <w:spacing w:after="217" w:line="259" w:lineRule="auto"/>
        <w:ind w:left="0" w:firstLine="0"/>
        <w:rPr>
          <w:rFonts w:ascii="Calibri" w:eastAsia="Calibri" w:hAnsi="Calibri" w:cs="Calibri"/>
          <w:sz w:val="22"/>
        </w:rPr>
      </w:pPr>
      <w:r w:rsidRPr="009F5E41">
        <w:rPr>
          <w:sz w:val="23"/>
        </w:rPr>
        <w:t xml:space="preserve"> </w:t>
      </w:r>
    </w:p>
    <w:p w14:paraId="2A580D6F" w14:textId="77777777" w:rsidR="00030DE6" w:rsidRPr="009F5E41" w:rsidRDefault="00030DE6" w:rsidP="00030DE6">
      <w:pPr>
        <w:spacing w:after="0"/>
        <w:ind w:left="0" w:firstLine="0"/>
        <w:rPr>
          <w:rFonts w:ascii="Calibri" w:eastAsia="Calibri" w:hAnsi="Calibri" w:cs="Calibri"/>
          <w:sz w:val="22"/>
        </w:rPr>
      </w:pPr>
      <w:r w:rsidRPr="009F5E41">
        <w:rPr>
          <w:b/>
          <w:sz w:val="23"/>
          <w:u w:val="single" w:color="000000"/>
        </w:rPr>
        <w:t>RECOMMENDATION</w:t>
      </w:r>
      <w:r w:rsidRPr="009F5E41">
        <w:rPr>
          <w:b/>
          <w:sz w:val="23"/>
        </w:rPr>
        <w:t xml:space="preserve">:  </w:t>
      </w:r>
      <w:r w:rsidRPr="009F5E41">
        <w:rPr>
          <w:sz w:val="23"/>
        </w:rPr>
        <w:t xml:space="preserve">That the Governor and General Assembly establish and fund a Veterans Textbook Support Grant to provide up to $1,000 per year to eligible student veterans who: Are currently enrolled in a degree, certificate, or vocational program at an accredited Virginia institution. They must be able to demonstrate prior military service via documentation and must be verified by a </w:t>
      </w:r>
    </w:p>
    <w:p w14:paraId="0F0832EB" w14:textId="77777777" w:rsidR="00030DE6" w:rsidRDefault="00030DE6" w:rsidP="00030DE6">
      <w:pPr>
        <w:spacing w:after="0" w:line="248" w:lineRule="auto"/>
        <w:ind w:left="-5" w:hanging="10"/>
        <w:jc w:val="both"/>
        <w:rPr>
          <w:sz w:val="23"/>
        </w:rPr>
      </w:pPr>
      <w:r w:rsidRPr="009F5E41">
        <w:rPr>
          <w:sz w:val="23"/>
        </w:rPr>
        <w:t>School Certifying Official (SCO) at their institution</w:t>
      </w:r>
      <w:r>
        <w:rPr>
          <w:sz w:val="23"/>
        </w:rPr>
        <w:t>.</w:t>
      </w:r>
    </w:p>
    <w:p w14:paraId="67A046D5" w14:textId="77777777" w:rsidR="00030DE6" w:rsidRDefault="00030DE6" w:rsidP="00030DE6">
      <w:pPr>
        <w:spacing w:after="0" w:line="248" w:lineRule="auto"/>
        <w:ind w:left="-5" w:hanging="10"/>
        <w:jc w:val="both"/>
        <w:rPr>
          <w:sz w:val="23"/>
        </w:rPr>
      </w:pPr>
    </w:p>
    <w:p w14:paraId="2BF04A0A" w14:textId="77777777" w:rsidR="009D0AEA" w:rsidRDefault="009D0AEA" w:rsidP="00030DE6">
      <w:pPr>
        <w:spacing w:after="0" w:line="259" w:lineRule="auto"/>
        <w:ind w:left="10" w:right="4" w:hanging="10"/>
        <w:jc w:val="center"/>
        <w:rPr>
          <w:b/>
          <w:sz w:val="28"/>
          <w:u w:val="single" w:color="000000"/>
        </w:rPr>
      </w:pPr>
    </w:p>
    <w:p w14:paraId="2C6D076A" w14:textId="77777777" w:rsidR="009D0AEA" w:rsidRDefault="009D0AEA" w:rsidP="00030DE6">
      <w:pPr>
        <w:spacing w:after="0" w:line="259" w:lineRule="auto"/>
        <w:ind w:left="10" w:right="4" w:hanging="10"/>
        <w:jc w:val="center"/>
        <w:rPr>
          <w:b/>
          <w:sz w:val="28"/>
          <w:u w:val="single" w:color="000000"/>
        </w:rPr>
      </w:pPr>
    </w:p>
    <w:p w14:paraId="51015576" w14:textId="77777777" w:rsidR="009D0AEA" w:rsidRDefault="009D0AEA" w:rsidP="00030DE6">
      <w:pPr>
        <w:spacing w:after="0" w:line="259" w:lineRule="auto"/>
        <w:ind w:left="10" w:right="4" w:hanging="10"/>
        <w:jc w:val="center"/>
        <w:rPr>
          <w:b/>
          <w:sz w:val="28"/>
          <w:u w:val="single" w:color="000000"/>
        </w:rPr>
      </w:pPr>
    </w:p>
    <w:p w14:paraId="7E6A145A" w14:textId="77777777" w:rsidR="009D0AEA" w:rsidRDefault="009D0AEA" w:rsidP="00030DE6">
      <w:pPr>
        <w:spacing w:after="0" w:line="259" w:lineRule="auto"/>
        <w:ind w:left="10" w:right="4" w:hanging="10"/>
        <w:jc w:val="center"/>
        <w:rPr>
          <w:b/>
          <w:sz w:val="28"/>
          <w:u w:val="single" w:color="000000"/>
        </w:rPr>
      </w:pPr>
    </w:p>
    <w:p w14:paraId="61D0B774" w14:textId="77777777" w:rsidR="009D0AEA" w:rsidRDefault="009D0AEA" w:rsidP="00030DE6">
      <w:pPr>
        <w:spacing w:after="0" w:line="259" w:lineRule="auto"/>
        <w:ind w:left="10" w:right="4" w:hanging="10"/>
        <w:jc w:val="center"/>
        <w:rPr>
          <w:b/>
          <w:sz w:val="28"/>
          <w:u w:val="single" w:color="000000"/>
        </w:rPr>
      </w:pPr>
    </w:p>
    <w:p w14:paraId="60E755F7" w14:textId="77777777" w:rsidR="009D0AEA" w:rsidRDefault="009D0AEA" w:rsidP="00030DE6">
      <w:pPr>
        <w:spacing w:after="0" w:line="259" w:lineRule="auto"/>
        <w:ind w:left="10" w:right="4" w:hanging="10"/>
        <w:jc w:val="center"/>
        <w:rPr>
          <w:b/>
          <w:sz w:val="28"/>
          <w:u w:val="single" w:color="000000"/>
        </w:rPr>
      </w:pPr>
    </w:p>
    <w:p w14:paraId="2D4B5A65" w14:textId="77777777" w:rsidR="009D0AEA" w:rsidRDefault="009D0AEA" w:rsidP="00030DE6">
      <w:pPr>
        <w:spacing w:after="0" w:line="259" w:lineRule="auto"/>
        <w:ind w:left="10" w:right="4" w:hanging="10"/>
        <w:jc w:val="center"/>
        <w:rPr>
          <w:b/>
          <w:sz w:val="28"/>
          <w:u w:val="single" w:color="000000"/>
        </w:rPr>
      </w:pPr>
    </w:p>
    <w:p w14:paraId="6FC5F1D0" w14:textId="77777777" w:rsidR="009D0AEA" w:rsidRDefault="009D0AEA" w:rsidP="00030DE6">
      <w:pPr>
        <w:spacing w:after="0" w:line="259" w:lineRule="auto"/>
        <w:ind w:left="10" w:right="4" w:hanging="10"/>
        <w:jc w:val="center"/>
        <w:rPr>
          <w:b/>
          <w:sz w:val="28"/>
          <w:u w:val="single" w:color="000000"/>
        </w:rPr>
      </w:pPr>
    </w:p>
    <w:p w14:paraId="3BEF3489" w14:textId="77777777" w:rsidR="009D0AEA" w:rsidRDefault="009D0AEA" w:rsidP="00030DE6">
      <w:pPr>
        <w:spacing w:after="0" w:line="259" w:lineRule="auto"/>
        <w:ind w:left="10" w:right="4" w:hanging="10"/>
        <w:jc w:val="center"/>
        <w:rPr>
          <w:b/>
          <w:sz w:val="28"/>
          <w:u w:val="single" w:color="000000"/>
        </w:rPr>
      </w:pPr>
    </w:p>
    <w:p w14:paraId="5E5CE929" w14:textId="77777777" w:rsidR="009D0AEA" w:rsidRDefault="009D0AEA" w:rsidP="00030DE6">
      <w:pPr>
        <w:spacing w:after="0" w:line="259" w:lineRule="auto"/>
        <w:ind w:left="10" w:right="4" w:hanging="10"/>
        <w:jc w:val="center"/>
        <w:rPr>
          <w:b/>
          <w:sz w:val="28"/>
          <w:u w:val="single" w:color="000000"/>
        </w:rPr>
      </w:pPr>
    </w:p>
    <w:p w14:paraId="4D755E86" w14:textId="77777777" w:rsidR="009D0AEA" w:rsidRDefault="009D0AEA" w:rsidP="00030DE6">
      <w:pPr>
        <w:spacing w:after="0" w:line="259" w:lineRule="auto"/>
        <w:ind w:left="10" w:right="4" w:hanging="10"/>
        <w:jc w:val="center"/>
        <w:rPr>
          <w:b/>
          <w:sz w:val="28"/>
          <w:u w:val="single" w:color="000000"/>
        </w:rPr>
      </w:pPr>
    </w:p>
    <w:p w14:paraId="719C33A2" w14:textId="77777777" w:rsidR="009D0AEA" w:rsidRDefault="009D0AEA" w:rsidP="00030DE6">
      <w:pPr>
        <w:spacing w:after="0" w:line="259" w:lineRule="auto"/>
        <w:ind w:left="10" w:right="4" w:hanging="10"/>
        <w:jc w:val="center"/>
        <w:rPr>
          <w:b/>
          <w:sz w:val="28"/>
          <w:u w:val="single" w:color="000000"/>
        </w:rPr>
      </w:pPr>
    </w:p>
    <w:p w14:paraId="63A05393" w14:textId="2AB80B74" w:rsidR="00030DE6" w:rsidRDefault="00030DE6" w:rsidP="00030DE6">
      <w:pPr>
        <w:spacing w:after="0" w:line="259" w:lineRule="auto"/>
        <w:ind w:left="10" w:right="4" w:hanging="10"/>
        <w:jc w:val="center"/>
        <w:rPr>
          <w:b/>
          <w:sz w:val="28"/>
        </w:rPr>
      </w:pPr>
      <w:r w:rsidRPr="009F5E41">
        <w:rPr>
          <w:b/>
          <w:sz w:val="28"/>
          <w:u w:val="single" w:color="000000"/>
        </w:rPr>
        <w:lastRenderedPageBreak/>
        <w:t>JLC Initiative 2026-04</w:t>
      </w:r>
    </w:p>
    <w:p w14:paraId="1C8AF366" w14:textId="77777777" w:rsidR="0007033B" w:rsidRDefault="00030DE6" w:rsidP="00030DE6">
      <w:pPr>
        <w:spacing w:after="0" w:line="259" w:lineRule="auto"/>
        <w:ind w:left="10" w:right="4" w:hanging="10"/>
        <w:jc w:val="center"/>
        <w:rPr>
          <w:b/>
          <w:sz w:val="28"/>
          <w:u w:val="single" w:color="000000"/>
        </w:rPr>
      </w:pPr>
      <w:r w:rsidRPr="009F5E41">
        <w:rPr>
          <w:b/>
          <w:sz w:val="28"/>
          <w:u w:val="single" w:color="000000"/>
        </w:rPr>
        <w:t>Exempt Veterans Service Organizations (VSOs) from Limits on</w:t>
      </w:r>
    </w:p>
    <w:p w14:paraId="18B31056" w14:textId="1436FCBF" w:rsidR="00030DE6" w:rsidRPr="009F5E41" w:rsidRDefault="00030DE6" w:rsidP="00030DE6">
      <w:pPr>
        <w:spacing w:after="0" w:line="259" w:lineRule="auto"/>
        <w:ind w:left="10" w:right="4" w:hanging="10"/>
        <w:jc w:val="center"/>
        <w:rPr>
          <w:color w:val="333399"/>
          <w:sz w:val="18"/>
        </w:rPr>
      </w:pPr>
      <w:r w:rsidRPr="009F5E41">
        <w:rPr>
          <w:b/>
          <w:sz w:val="28"/>
        </w:rPr>
        <w:t xml:space="preserve"> </w:t>
      </w:r>
      <w:r w:rsidRPr="009F5E41">
        <w:rPr>
          <w:b/>
          <w:sz w:val="28"/>
          <w:u w:val="single" w:color="000000"/>
        </w:rPr>
        <w:t>Use of Proceeds from Charitable Gaming</w:t>
      </w:r>
    </w:p>
    <w:p w14:paraId="2886763B" w14:textId="77777777" w:rsidR="00030DE6" w:rsidRPr="009F5E41" w:rsidRDefault="00030DE6" w:rsidP="00030DE6">
      <w:pPr>
        <w:spacing w:after="0" w:line="259" w:lineRule="auto"/>
        <w:ind w:left="65" w:firstLine="0"/>
        <w:jc w:val="center"/>
      </w:pPr>
      <w:r w:rsidRPr="009F5E41">
        <w:rPr>
          <w:sz w:val="28"/>
        </w:rPr>
        <w:t xml:space="preserve"> </w:t>
      </w:r>
    </w:p>
    <w:p w14:paraId="497277BF" w14:textId="77777777" w:rsidR="00030DE6" w:rsidRPr="009F5E41" w:rsidRDefault="00030DE6" w:rsidP="00030DE6">
      <w:pPr>
        <w:spacing w:after="0"/>
        <w:ind w:left="-5" w:right="-13" w:hanging="10"/>
        <w:jc w:val="both"/>
      </w:pPr>
      <w:r w:rsidRPr="009F5E41">
        <w:rPr>
          <w:b/>
          <w:u w:val="single" w:color="000000"/>
        </w:rPr>
        <w:t>OBJECTIVE</w:t>
      </w:r>
      <w:r w:rsidRPr="009F5E41">
        <w:t xml:space="preserve">:  Exempt 501(c)(19) Veterans Service Organizations (VSOs) from limits on Use of Proceeds from charitable gaming. </w:t>
      </w:r>
    </w:p>
    <w:p w14:paraId="4768AAB6" w14:textId="77777777" w:rsidR="00030DE6" w:rsidRPr="009F5E41" w:rsidRDefault="00030DE6" w:rsidP="00030DE6">
      <w:pPr>
        <w:spacing w:after="0" w:line="259" w:lineRule="auto"/>
        <w:ind w:left="0" w:firstLine="0"/>
      </w:pPr>
      <w:r w:rsidRPr="009F5E41">
        <w:t xml:space="preserve">  </w:t>
      </w:r>
    </w:p>
    <w:p w14:paraId="1569D72B" w14:textId="77777777" w:rsidR="00030DE6" w:rsidRPr="009F5E41" w:rsidRDefault="00030DE6" w:rsidP="00030DE6">
      <w:pPr>
        <w:spacing w:after="0"/>
        <w:ind w:left="-5" w:right="-13" w:hanging="10"/>
        <w:jc w:val="both"/>
      </w:pPr>
      <w:r w:rsidRPr="009F5E41">
        <w:rPr>
          <w:b/>
          <w:u w:val="single" w:color="000000"/>
        </w:rPr>
        <w:t xml:space="preserve">BACKGROUND: </w:t>
      </w:r>
      <w:r w:rsidRPr="009F5E41">
        <w:t>Existing law and strict regulations require VSOs to use a percentage of charitable gaming proceeds for “charity” and severely limits the use of proceeds for infrastructure and VSO salaries and other expenses. By mandate of federal statute, VSOs exist to serve veterans but also children, youth, the local community, and others in need.</w:t>
      </w:r>
      <w:r w:rsidRPr="009F5E41">
        <w:rPr>
          <w:b/>
        </w:rPr>
        <w:t xml:space="preserve"> </w:t>
      </w:r>
    </w:p>
    <w:p w14:paraId="1870584D" w14:textId="77777777" w:rsidR="00030DE6" w:rsidRPr="009F5E41" w:rsidRDefault="00030DE6" w:rsidP="00030DE6">
      <w:pPr>
        <w:spacing w:after="0" w:line="259" w:lineRule="auto"/>
        <w:ind w:left="696" w:firstLine="0"/>
      </w:pPr>
      <w:r w:rsidRPr="009F5E41">
        <w:t xml:space="preserve"> </w:t>
      </w:r>
    </w:p>
    <w:p w14:paraId="28F846FC" w14:textId="77777777" w:rsidR="00030DE6" w:rsidRPr="009F5E41" w:rsidRDefault="00030DE6" w:rsidP="00030DE6">
      <w:pPr>
        <w:spacing w:after="0"/>
        <w:ind w:left="-5" w:right="-13" w:hanging="10"/>
        <w:jc w:val="both"/>
      </w:pPr>
      <w:r w:rsidRPr="009F5E41">
        <w:rPr>
          <w:b/>
          <w:u w:val="single" w:color="000000"/>
        </w:rPr>
        <w:t xml:space="preserve">DISCUSSION: </w:t>
      </w:r>
      <w:r w:rsidRPr="009F5E41">
        <w:t>Restricting VSO use of proceeds to “charity” and limiting what may be spent on infrastructure and other expenses undermines the purpose of veteran service organizations such as Veterans of Foreign Wars, The American Legion, and AMVETs, many of which have Posts that have charitable gaming.</w:t>
      </w:r>
      <w:r w:rsidRPr="009F5E41">
        <w:rPr>
          <w:b/>
        </w:rPr>
        <w:t xml:space="preserve"> </w:t>
      </w:r>
      <w:r w:rsidRPr="009F5E41">
        <w:t xml:space="preserve">Virginia recognizes 501 (c) (3) organizations as charity thus allowing largely unrestricted ways to account for use of proceeds. The Internal Revenue Service recognizes 501 (c) (19) organizations as charity but the Virginia Tax Code does not, thus limiting how use of proceeds may be </w:t>
      </w:r>
      <w:proofErr w:type="spellStart"/>
      <w:r w:rsidRPr="009F5E41">
        <w:t>speny</w:t>
      </w:r>
      <w:proofErr w:type="spellEnd"/>
      <w:r w:rsidRPr="009F5E41">
        <w:t xml:space="preserve"> for by VSOs. This oversight places an undue hardship on VSOs and has contributed to some VSOs eliminating charitable gaming and, in some cases, ceasing to exist.</w:t>
      </w:r>
      <w:r w:rsidRPr="009F5E41">
        <w:rPr>
          <w:b/>
        </w:rPr>
        <w:t xml:space="preserve"> </w:t>
      </w:r>
    </w:p>
    <w:p w14:paraId="57C7F030" w14:textId="77777777" w:rsidR="00030DE6" w:rsidRPr="009F5E41" w:rsidRDefault="00030DE6" w:rsidP="00030DE6">
      <w:pPr>
        <w:spacing w:after="0" w:line="259" w:lineRule="auto"/>
        <w:ind w:left="336" w:firstLine="0"/>
      </w:pPr>
      <w:r w:rsidRPr="009F5E41">
        <w:t xml:space="preserve"> </w:t>
      </w:r>
    </w:p>
    <w:p w14:paraId="4EDD1FE1" w14:textId="2C563595" w:rsidR="00030DE6" w:rsidRDefault="00030DE6" w:rsidP="00030DE6">
      <w:pPr>
        <w:spacing w:after="0" w:line="248" w:lineRule="auto"/>
        <w:ind w:left="-5" w:hanging="10"/>
        <w:jc w:val="both"/>
      </w:pPr>
      <w:r w:rsidRPr="009F5E41">
        <w:rPr>
          <w:b/>
          <w:u w:val="single" w:color="000000"/>
        </w:rPr>
        <w:t>RECOMMENDATION</w:t>
      </w:r>
      <w:r w:rsidRPr="009F5E41">
        <w:rPr>
          <w:b/>
        </w:rPr>
        <w:t xml:space="preserve">: </w:t>
      </w:r>
      <w:r w:rsidRPr="009F5E41">
        <w:t>That the Governor and General Assembly direct that 501 (c) (19) organizations be classified as charities in the Virginia Tax Code, thus freeing Veterans Service Organizations from the strict use of proceeds requirements currently imposed or otherwise act to</w:t>
      </w:r>
    </w:p>
    <w:p w14:paraId="4360E9C1" w14:textId="7CA97D41" w:rsidR="009D0AEA" w:rsidRDefault="00030DE6" w:rsidP="0040200E">
      <w:pPr>
        <w:spacing w:after="0" w:line="248" w:lineRule="auto"/>
        <w:ind w:left="-5" w:hanging="10"/>
        <w:jc w:val="both"/>
        <w:rPr>
          <w:b/>
          <w:sz w:val="28"/>
          <w:u w:val="single" w:color="000000"/>
        </w:rPr>
      </w:pPr>
      <w:r w:rsidRPr="009F5E41">
        <w:t>ensure that a VSO may use gaming proceeds for its Federal statutory purposes.</w:t>
      </w:r>
    </w:p>
    <w:p w14:paraId="1879EA6F" w14:textId="77777777" w:rsidR="0040200E" w:rsidRDefault="0040200E" w:rsidP="009D0AEA">
      <w:pPr>
        <w:keepNext/>
        <w:keepLines/>
        <w:spacing w:after="0" w:line="259" w:lineRule="auto"/>
        <w:ind w:left="12" w:hanging="10"/>
        <w:jc w:val="center"/>
        <w:outlineLvl w:val="0"/>
        <w:rPr>
          <w:b/>
          <w:sz w:val="28"/>
          <w:u w:val="single" w:color="000000"/>
        </w:rPr>
      </w:pPr>
    </w:p>
    <w:p w14:paraId="1FCF3AEE" w14:textId="77777777" w:rsidR="0040200E" w:rsidRDefault="0040200E" w:rsidP="009D0AEA">
      <w:pPr>
        <w:keepNext/>
        <w:keepLines/>
        <w:spacing w:after="0" w:line="259" w:lineRule="auto"/>
        <w:ind w:left="12" w:hanging="10"/>
        <w:jc w:val="center"/>
        <w:outlineLvl w:val="0"/>
        <w:rPr>
          <w:b/>
          <w:sz w:val="28"/>
          <w:u w:val="single" w:color="000000"/>
        </w:rPr>
      </w:pPr>
    </w:p>
    <w:p w14:paraId="3C945754" w14:textId="101F1C90" w:rsidR="009D0AEA" w:rsidRPr="00325AF3" w:rsidRDefault="009D0AEA" w:rsidP="009D0AEA">
      <w:pPr>
        <w:spacing w:after="0" w:line="259" w:lineRule="auto"/>
        <w:ind w:left="720" w:firstLine="0"/>
        <w:rPr>
          <w:rFonts w:ascii="Calibri" w:eastAsia="Calibri" w:hAnsi="Calibri" w:cs="Calibri"/>
          <w:sz w:val="22"/>
        </w:rPr>
      </w:pPr>
    </w:p>
    <w:p w14:paraId="10AF44A7" w14:textId="77777777" w:rsidR="0040200E" w:rsidRDefault="0040200E" w:rsidP="009D0AEA">
      <w:pPr>
        <w:spacing w:after="2" w:line="236" w:lineRule="auto"/>
        <w:ind w:left="-5" w:hanging="10"/>
        <w:rPr>
          <w:b/>
        </w:rPr>
      </w:pPr>
    </w:p>
    <w:p w14:paraId="4EE25434" w14:textId="77777777" w:rsidR="0040200E" w:rsidRDefault="0040200E" w:rsidP="009D0AEA">
      <w:pPr>
        <w:spacing w:after="2" w:line="236" w:lineRule="auto"/>
        <w:ind w:left="-5" w:hanging="10"/>
        <w:rPr>
          <w:b/>
        </w:rPr>
      </w:pPr>
    </w:p>
    <w:p w14:paraId="37872AC9" w14:textId="77777777" w:rsidR="0040200E" w:rsidRDefault="0040200E" w:rsidP="009D0AEA">
      <w:pPr>
        <w:spacing w:after="2" w:line="236" w:lineRule="auto"/>
        <w:ind w:left="-5" w:hanging="10"/>
        <w:rPr>
          <w:b/>
        </w:rPr>
      </w:pPr>
    </w:p>
    <w:p w14:paraId="11F88FE7" w14:textId="77777777" w:rsidR="0040200E" w:rsidRDefault="0040200E" w:rsidP="009D0AEA">
      <w:pPr>
        <w:spacing w:after="2" w:line="236" w:lineRule="auto"/>
        <w:ind w:left="-5" w:hanging="10"/>
        <w:rPr>
          <w:b/>
        </w:rPr>
      </w:pPr>
    </w:p>
    <w:p w14:paraId="4F361210" w14:textId="77777777" w:rsidR="0040200E" w:rsidRDefault="0040200E" w:rsidP="009D0AEA">
      <w:pPr>
        <w:spacing w:after="2" w:line="236" w:lineRule="auto"/>
        <w:ind w:left="-5" w:hanging="10"/>
        <w:rPr>
          <w:b/>
        </w:rPr>
      </w:pPr>
    </w:p>
    <w:p w14:paraId="3E09FA5E" w14:textId="77777777" w:rsidR="0040200E" w:rsidRDefault="0040200E" w:rsidP="009D0AEA">
      <w:pPr>
        <w:spacing w:after="2" w:line="236" w:lineRule="auto"/>
        <w:ind w:left="-5" w:hanging="10"/>
        <w:rPr>
          <w:b/>
        </w:rPr>
      </w:pPr>
    </w:p>
    <w:p w14:paraId="0A16D887" w14:textId="77777777" w:rsidR="0040200E" w:rsidRDefault="0040200E" w:rsidP="009D0AEA">
      <w:pPr>
        <w:spacing w:after="2" w:line="236" w:lineRule="auto"/>
        <w:ind w:left="-5" w:hanging="10"/>
        <w:rPr>
          <w:b/>
        </w:rPr>
      </w:pPr>
    </w:p>
    <w:p w14:paraId="4DD24B75" w14:textId="77777777" w:rsidR="0040200E" w:rsidRDefault="0040200E" w:rsidP="009D0AEA">
      <w:pPr>
        <w:spacing w:after="2" w:line="236" w:lineRule="auto"/>
        <w:ind w:left="-5" w:hanging="10"/>
        <w:rPr>
          <w:b/>
        </w:rPr>
      </w:pPr>
    </w:p>
    <w:p w14:paraId="49EECA56" w14:textId="77777777" w:rsidR="0040200E" w:rsidRDefault="0040200E" w:rsidP="009D0AEA">
      <w:pPr>
        <w:spacing w:after="2" w:line="236" w:lineRule="auto"/>
        <w:ind w:left="-5" w:hanging="10"/>
        <w:rPr>
          <w:b/>
        </w:rPr>
      </w:pPr>
    </w:p>
    <w:p w14:paraId="53CB5227" w14:textId="77777777" w:rsidR="0040200E" w:rsidRDefault="0040200E" w:rsidP="009D0AEA">
      <w:pPr>
        <w:spacing w:after="2" w:line="236" w:lineRule="auto"/>
        <w:ind w:left="-5" w:hanging="10"/>
        <w:rPr>
          <w:b/>
        </w:rPr>
      </w:pPr>
    </w:p>
    <w:p w14:paraId="4CB5FBC9" w14:textId="77777777" w:rsidR="0040200E" w:rsidRDefault="0040200E" w:rsidP="009D0AEA">
      <w:pPr>
        <w:spacing w:after="2" w:line="236" w:lineRule="auto"/>
        <w:ind w:left="-5" w:hanging="10"/>
        <w:rPr>
          <w:b/>
        </w:rPr>
      </w:pPr>
    </w:p>
    <w:p w14:paraId="33ED9E8E" w14:textId="77777777" w:rsidR="0040200E" w:rsidRDefault="0040200E" w:rsidP="009D0AEA">
      <w:pPr>
        <w:spacing w:after="2" w:line="236" w:lineRule="auto"/>
        <w:ind w:left="-5" w:hanging="10"/>
        <w:rPr>
          <w:b/>
        </w:rPr>
      </w:pPr>
    </w:p>
    <w:p w14:paraId="1861A328" w14:textId="77777777" w:rsidR="0040200E" w:rsidRDefault="0040200E" w:rsidP="009D0AEA">
      <w:pPr>
        <w:spacing w:after="2" w:line="236" w:lineRule="auto"/>
        <w:ind w:left="-5" w:hanging="10"/>
        <w:rPr>
          <w:b/>
        </w:rPr>
      </w:pPr>
    </w:p>
    <w:p w14:paraId="11AD9C16" w14:textId="77777777" w:rsidR="0040200E" w:rsidRDefault="0040200E" w:rsidP="009D0AEA">
      <w:pPr>
        <w:spacing w:after="2" w:line="236" w:lineRule="auto"/>
        <w:ind w:left="-5" w:hanging="10"/>
        <w:rPr>
          <w:b/>
        </w:rPr>
      </w:pPr>
    </w:p>
    <w:p w14:paraId="43325606" w14:textId="77777777" w:rsidR="0040200E" w:rsidRDefault="0040200E" w:rsidP="009D0AEA">
      <w:pPr>
        <w:spacing w:after="2" w:line="236" w:lineRule="auto"/>
        <w:ind w:left="-5" w:hanging="10"/>
        <w:rPr>
          <w:b/>
        </w:rPr>
      </w:pPr>
    </w:p>
    <w:p w14:paraId="0CC137D3" w14:textId="77777777" w:rsidR="0040200E" w:rsidRDefault="0040200E" w:rsidP="009D0AEA">
      <w:pPr>
        <w:spacing w:after="2" w:line="236" w:lineRule="auto"/>
        <w:ind w:left="-5" w:hanging="10"/>
        <w:rPr>
          <w:b/>
        </w:rPr>
      </w:pPr>
    </w:p>
    <w:p w14:paraId="3FC0C702" w14:textId="77777777" w:rsidR="0040200E" w:rsidRDefault="0040200E" w:rsidP="009D0AEA">
      <w:pPr>
        <w:spacing w:after="2" w:line="236" w:lineRule="auto"/>
        <w:ind w:left="-5" w:hanging="10"/>
        <w:rPr>
          <w:b/>
        </w:rPr>
      </w:pPr>
    </w:p>
    <w:p w14:paraId="65A77ACA" w14:textId="77777777" w:rsidR="0040200E" w:rsidRDefault="0040200E" w:rsidP="0040200E">
      <w:pPr>
        <w:keepNext/>
        <w:keepLines/>
        <w:spacing w:after="0" w:line="259" w:lineRule="auto"/>
        <w:ind w:left="12" w:hanging="10"/>
        <w:jc w:val="center"/>
        <w:outlineLvl w:val="0"/>
        <w:rPr>
          <w:b/>
          <w:sz w:val="28"/>
          <w:u w:val="single" w:color="000000"/>
        </w:rPr>
      </w:pPr>
      <w:r w:rsidRPr="00325AF3">
        <w:rPr>
          <w:b/>
          <w:sz w:val="28"/>
          <w:u w:val="single" w:color="000000"/>
        </w:rPr>
        <w:lastRenderedPageBreak/>
        <w:t>JLC Initiative 2026-05</w:t>
      </w:r>
    </w:p>
    <w:p w14:paraId="651E909D" w14:textId="77777777" w:rsidR="0040200E" w:rsidRPr="00325AF3" w:rsidRDefault="0040200E" w:rsidP="0040200E">
      <w:pPr>
        <w:keepNext/>
        <w:keepLines/>
        <w:spacing w:after="0" w:line="259" w:lineRule="auto"/>
        <w:ind w:left="12" w:hanging="10"/>
        <w:jc w:val="center"/>
        <w:outlineLvl w:val="0"/>
        <w:rPr>
          <w:color w:val="333399"/>
          <w:sz w:val="18"/>
        </w:rPr>
      </w:pPr>
      <w:r w:rsidRPr="00325AF3">
        <w:rPr>
          <w:b/>
          <w:sz w:val="28"/>
        </w:rPr>
        <w:t xml:space="preserve"> </w:t>
      </w:r>
      <w:r w:rsidRPr="00325AF3">
        <w:rPr>
          <w:b/>
          <w:sz w:val="28"/>
          <w:u w:val="single" w:color="000000"/>
        </w:rPr>
        <w:t>Inclusion of USPHS and NOAA in Income Tax Subtraction</w:t>
      </w:r>
      <w:r w:rsidRPr="00325AF3">
        <w:rPr>
          <w:b/>
          <w:sz w:val="28"/>
        </w:rPr>
        <w:t xml:space="preserve"> </w:t>
      </w:r>
    </w:p>
    <w:p w14:paraId="609ED331" w14:textId="77777777" w:rsidR="0040200E" w:rsidRPr="00325AF3" w:rsidRDefault="0040200E" w:rsidP="0040200E">
      <w:pPr>
        <w:spacing w:after="56" w:line="259" w:lineRule="auto"/>
        <w:ind w:left="0" w:firstLine="0"/>
        <w:rPr>
          <w:rFonts w:ascii="Calibri" w:eastAsia="Calibri" w:hAnsi="Calibri" w:cs="Calibri"/>
          <w:sz w:val="22"/>
        </w:rPr>
      </w:pPr>
      <w:r w:rsidRPr="00325AF3">
        <w:rPr>
          <w:sz w:val="16"/>
        </w:rPr>
        <w:t xml:space="preserve"> </w:t>
      </w:r>
    </w:p>
    <w:p w14:paraId="4818D7D1" w14:textId="77777777" w:rsidR="0040200E" w:rsidRPr="00325AF3" w:rsidRDefault="0040200E" w:rsidP="0040200E">
      <w:pPr>
        <w:spacing w:after="146" w:line="247" w:lineRule="auto"/>
        <w:ind w:left="0" w:firstLine="0"/>
        <w:jc w:val="both"/>
        <w:rPr>
          <w:rFonts w:ascii="Calibri" w:eastAsia="Calibri" w:hAnsi="Calibri" w:cs="Calibri"/>
          <w:sz w:val="22"/>
        </w:rPr>
      </w:pPr>
      <w:r w:rsidRPr="00325AF3">
        <w:rPr>
          <w:b/>
        </w:rPr>
        <w:t>OBJECTIVE</w:t>
      </w:r>
      <w:r w:rsidRPr="00325AF3">
        <w:rPr>
          <w:b/>
          <w:sz w:val="23"/>
        </w:rPr>
        <w:t xml:space="preserve">: </w:t>
      </w:r>
      <w:r w:rsidRPr="00325AF3">
        <w:t>To ensure the continued commitment of the Commonwealth of Virginia to amend and reenact § 58.1-322.02 of the Code of Virginia to expand eligibility to all Uniformed Services, including the Commissioned Corps of the U.S. Public Health Service (USPHS) and the National Oceanic and Atmospheric Administration (NOAA) Commissioned Officer Corps.</w:t>
      </w:r>
      <w:r w:rsidRPr="00325AF3">
        <w:rPr>
          <w:sz w:val="23"/>
        </w:rPr>
        <w:t xml:space="preserve"> </w:t>
      </w:r>
      <w:r w:rsidRPr="00325AF3">
        <w:t xml:space="preserve"> </w:t>
      </w:r>
    </w:p>
    <w:p w14:paraId="7C1C3EAB" w14:textId="77777777" w:rsidR="0040200E" w:rsidRPr="00325AF3" w:rsidRDefault="0040200E" w:rsidP="0040200E">
      <w:pPr>
        <w:spacing w:after="105" w:line="259" w:lineRule="auto"/>
        <w:ind w:left="0" w:firstLine="0"/>
        <w:rPr>
          <w:rFonts w:ascii="Calibri" w:eastAsia="Calibri" w:hAnsi="Calibri" w:cs="Calibri"/>
          <w:sz w:val="22"/>
        </w:rPr>
      </w:pPr>
      <w:r w:rsidRPr="00325AF3">
        <w:rPr>
          <w:sz w:val="12"/>
        </w:rPr>
        <w:t xml:space="preserve"> </w:t>
      </w:r>
    </w:p>
    <w:p w14:paraId="629D2CD7" w14:textId="77777777" w:rsidR="0040200E" w:rsidRPr="00325AF3" w:rsidRDefault="0040200E" w:rsidP="0040200E">
      <w:pPr>
        <w:spacing w:after="2" w:line="236" w:lineRule="auto"/>
        <w:ind w:left="-5" w:hanging="10"/>
        <w:rPr>
          <w:rFonts w:ascii="Calibri" w:eastAsia="Calibri" w:hAnsi="Calibri" w:cs="Calibri"/>
          <w:sz w:val="22"/>
        </w:rPr>
      </w:pPr>
      <w:r w:rsidRPr="00325AF3">
        <w:rPr>
          <w:b/>
        </w:rPr>
        <w:t>BACKGROUND</w:t>
      </w:r>
      <w:r w:rsidRPr="00325AF3">
        <w:t xml:space="preserve">: </w:t>
      </w:r>
      <w:r w:rsidRPr="00325AF3">
        <w:rPr>
          <w:sz w:val="23"/>
        </w:rPr>
        <w:t>Starting in 2023, Virginia veterans over the age of 55 receive a partial subtraction of their military retirement from state income taxes, an historic step by the General Assembly and Governor. The objective of this initiative is to make the law more appropriately inclusive by substituting the term “Uniformed Services” for “Armed Forces.”</w:t>
      </w:r>
      <w:r w:rsidRPr="00325AF3">
        <w:t xml:space="preserve"> </w:t>
      </w:r>
      <w:r w:rsidRPr="00325AF3">
        <w:rPr>
          <w:sz w:val="23"/>
        </w:rPr>
        <w:t xml:space="preserve">However, in defining the term “military” in the law as “service in the </w:t>
      </w:r>
    </w:p>
    <w:p w14:paraId="42CE24B9" w14:textId="77777777" w:rsidR="0040200E" w:rsidRPr="00325AF3" w:rsidRDefault="0040200E" w:rsidP="0040200E">
      <w:pPr>
        <w:spacing w:after="2" w:line="236" w:lineRule="auto"/>
        <w:ind w:left="-5" w:hanging="10"/>
        <w:rPr>
          <w:rFonts w:ascii="Calibri" w:eastAsia="Calibri" w:hAnsi="Calibri" w:cs="Calibri"/>
          <w:sz w:val="22"/>
        </w:rPr>
      </w:pPr>
      <w:r w:rsidRPr="00325AF3">
        <w:rPr>
          <w:sz w:val="23"/>
        </w:rPr>
        <w:t>Armed Forces of the United States,” it eliminates eligibility for Virginia retirees of two of the eight uniformed services (USPHS and NOAA).</w:t>
      </w:r>
      <w:r w:rsidRPr="00325AF3">
        <w:t xml:space="preserve">  </w:t>
      </w:r>
    </w:p>
    <w:p w14:paraId="7F14E8A4" w14:textId="77777777" w:rsidR="0040200E" w:rsidRDefault="0040200E" w:rsidP="009D0AEA">
      <w:pPr>
        <w:spacing w:after="2" w:line="236" w:lineRule="auto"/>
        <w:ind w:left="-5" w:hanging="10"/>
        <w:rPr>
          <w:b/>
        </w:rPr>
      </w:pPr>
    </w:p>
    <w:p w14:paraId="21E710AD" w14:textId="7963A745" w:rsidR="009D0AEA" w:rsidRPr="00325AF3" w:rsidRDefault="009D0AEA" w:rsidP="009D0AEA">
      <w:pPr>
        <w:spacing w:after="2" w:line="236" w:lineRule="auto"/>
        <w:ind w:left="-5" w:hanging="10"/>
        <w:rPr>
          <w:rFonts w:ascii="Calibri" w:eastAsia="Calibri" w:hAnsi="Calibri" w:cs="Calibri"/>
          <w:sz w:val="22"/>
        </w:rPr>
      </w:pPr>
      <w:r w:rsidRPr="00325AF3">
        <w:rPr>
          <w:b/>
        </w:rPr>
        <w:t>DISCUSSION</w:t>
      </w:r>
      <w:r w:rsidRPr="00325AF3">
        <w:t xml:space="preserve">: </w:t>
      </w:r>
      <w:r w:rsidRPr="00325AF3">
        <w:rPr>
          <w:sz w:val="23"/>
        </w:rPr>
        <w:t>In 2022, § 58.1-322.02 of the Code of Virginia was amended by the General Assembly and reenacted to allow an individual age 55 or older to subtract military benefits, defined as “military retirement income received for service in the Armed Forces of the United States” from their Virginia taxable income. Because that definition uses the words “armed forces” instead of “uniformed services,” the enacted law excluded USPHS and NOAA retirees, both entities that consist of uniformed service members deployable worldwide.</w:t>
      </w:r>
      <w:r w:rsidRPr="00325AF3">
        <w:t xml:space="preserve"> </w:t>
      </w:r>
      <w:r w:rsidRPr="00325AF3">
        <w:rPr>
          <w:sz w:val="23"/>
        </w:rPr>
        <w:t xml:space="preserve">Federal law (e.g., 10 USC 101 and 37 USC 101), defines the term “Uniformed Services” to include the six Armed Forces (Army, Navy, Air Force, Marine Corps, Coast Guard, and Space Force), the USPHS, and NOAA. The total number of PHS and NOAA retirees living in Virginia as of 11/9/2024 was 287; the total number of PHS and NOAA annuitants living in Virginia as of 11/9/2024 was 52; total = 339. States bordering Virginia, including West Virginia, Maryland, and North Carolina use the words “Uniformed Services”, including USPHS and NOAA, in their relevant tax laws. Kentucky also included the USPHS and NOAA in its definition of "Armed Forces" for the purposes of its active duty pay tax exclusion. </w:t>
      </w:r>
      <w:r w:rsidRPr="00325AF3">
        <w:t xml:space="preserve"> </w:t>
      </w:r>
    </w:p>
    <w:p w14:paraId="38778A8D" w14:textId="77777777" w:rsidR="009D0AEA" w:rsidRPr="00325AF3" w:rsidRDefault="009D0AEA" w:rsidP="009D0AEA">
      <w:pPr>
        <w:spacing w:after="1" w:line="259" w:lineRule="auto"/>
        <w:ind w:left="0" w:firstLine="0"/>
        <w:rPr>
          <w:rFonts w:ascii="Calibri" w:eastAsia="Calibri" w:hAnsi="Calibri" w:cs="Calibri"/>
          <w:sz w:val="22"/>
        </w:rPr>
      </w:pPr>
      <w:r w:rsidRPr="00325AF3">
        <w:t xml:space="preserve"> </w:t>
      </w:r>
    </w:p>
    <w:p w14:paraId="42BF007C" w14:textId="5D0B048F" w:rsidR="009D0AEA" w:rsidRDefault="009D0AEA" w:rsidP="009D0AEA">
      <w:pPr>
        <w:spacing w:after="0" w:line="248" w:lineRule="auto"/>
        <w:ind w:left="-5" w:hanging="10"/>
        <w:jc w:val="both"/>
      </w:pPr>
      <w:r w:rsidRPr="00325AF3">
        <w:rPr>
          <w:b/>
        </w:rPr>
        <w:t>RECOMMENDATION</w:t>
      </w:r>
      <w:r w:rsidRPr="00325AF3">
        <w:t>: That the Governor and General Assembly amend the Virginia code to substitute the term “Uniformed Services” to “Armed Forces” in defining the eligibility for subtraction of military retirement income from Virginia taxable income.</w:t>
      </w:r>
    </w:p>
    <w:p w14:paraId="64750DED" w14:textId="77777777" w:rsidR="009D0AEA" w:rsidRDefault="009D0AEA" w:rsidP="009D0AEA">
      <w:pPr>
        <w:keepNext/>
        <w:keepLines/>
        <w:spacing w:after="0" w:line="259" w:lineRule="auto"/>
        <w:ind w:left="12" w:hanging="10"/>
        <w:outlineLvl w:val="0"/>
        <w:rPr>
          <w:b/>
          <w:sz w:val="28"/>
          <w:u w:val="single" w:color="000000"/>
        </w:rPr>
      </w:pPr>
    </w:p>
    <w:p w14:paraId="41FE1536" w14:textId="42F35E21" w:rsidR="00030DE6" w:rsidRDefault="00030DE6" w:rsidP="00030DE6">
      <w:pPr>
        <w:spacing w:after="0" w:line="248" w:lineRule="auto"/>
        <w:ind w:left="-5" w:hanging="10"/>
        <w:jc w:val="both"/>
      </w:pPr>
    </w:p>
    <w:sectPr w:rsidR="00030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C3061"/>
    <w:multiLevelType w:val="hybridMultilevel"/>
    <w:tmpl w:val="91F276C6"/>
    <w:lvl w:ilvl="0" w:tplc="EBBC4CE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142C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B012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62BC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4032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2480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1895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7E6E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EEA2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29745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E6"/>
    <w:rsid w:val="00026DD9"/>
    <w:rsid w:val="00030DE6"/>
    <w:rsid w:val="0007033B"/>
    <w:rsid w:val="00397702"/>
    <w:rsid w:val="0040200E"/>
    <w:rsid w:val="009D0AEA"/>
    <w:rsid w:val="00FA2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C1DE"/>
  <w15:chartTrackingRefBased/>
  <w15:docId w15:val="{25B3DCD4-8A7E-4B11-9316-169D5529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DE6"/>
    <w:pPr>
      <w:spacing w:after="3" w:line="238" w:lineRule="auto"/>
      <w:ind w:left="370" w:hanging="37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03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DE6"/>
    <w:rPr>
      <w:rFonts w:eastAsiaTheme="majorEastAsia" w:cstheme="majorBidi"/>
      <w:color w:val="272727" w:themeColor="text1" w:themeTint="D8"/>
    </w:rPr>
  </w:style>
  <w:style w:type="paragraph" w:styleId="Title">
    <w:name w:val="Title"/>
    <w:basedOn w:val="Normal"/>
    <w:next w:val="Normal"/>
    <w:link w:val="TitleChar"/>
    <w:uiPriority w:val="10"/>
    <w:qFormat/>
    <w:rsid w:val="0003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DE6"/>
    <w:pPr>
      <w:spacing w:before="160"/>
      <w:jc w:val="center"/>
    </w:pPr>
    <w:rPr>
      <w:i/>
      <w:iCs/>
      <w:color w:val="404040" w:themeColor="text1" w:themeTint="BF"/>
    </w:rPr>
  </w:style>
  <w:style w:type="character" w:customStyle="1" w:styleId="QuoteChar">
    <w:name w:val="Quote Char"/>
    <w:basedOn w:val="DefaultParagraphFont"/>
    <w:link w:val="Quote"/>
    <w:uiPriority w:val="29"/>
    <w:rsid w:val="00030DE6"/>
    <w:rPr>
      <w:i/>
      <w:iCs/>
      <w:color w:val="404040" w:themeColor="text1" w:themeTint="BF"/>
    </w:rPr>
  </w:style>
  <w:style w:type="paragraph" w:styleId="ListParagraph">
    <w:name w:val="List Paragraph"/>
    <w:basedOn w:val="Normal"/>
    <w:uiPriority w:val="34"/>
    <w:qFormat/>
    <w:rsid w:val="00030DE6"/>
    <w:pPr>
      <w:ind w:left="720"/>
      <w:contextualSpacing/>
    </w:pPr>
  </w:style>
  <w:style w:type="character" w:styleId="IntenseEmphasis">
    <w:name w:val="Intense Emphasis"/>
    <w:basedOn w:val="DefaultParagraphFont"/>
    <w:uiPriority w:val="21"/>
    <w:qFormat/>
    <w:rsid w:val="00030DE6"/>
    <w:rPr>
      <w:i/>
      <w:iCs/>
      <w:color w:val="2F5496" w:themeColor="accent1" w:themeShade="BF"/>
    </w:rPr>
  </w:style>
  <w:style w:type="paragraph" w:styleId="IntenseQuote">
    <w:name w:val="Intense Quote"/>
    <w:basedOn w:val="Normal"/>
    <w:next w:val="Normal"/>
    <w:link w:val="IntenseQuoteChar"/>
    <w:uiPriority w:val="30"/>
    <w:qFormat/>
    <w:rsid w:val="0003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0DE6"/>
    <w:rPr>
      <w:i/>
      <w:iCs/>
      <w:color w:val="2F5496" w:themeColor="accent1" w:themeShade="BF"/>
    </w:rPr>
  </w:style>
  <w:style w:type="character" w:styleId="IntenseReference">
    <w:name w:val="Intense Reference"/>
    <w:basedOn w:val="DefaultParagraphFont"/>
    <w:uiPriority w:val="32"/>
    <w:qFormat/>
    <w:rsid w:val="00030D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Oertel</dc:creator>
  <cp:keywords/>
  <dc:description/>
  <cp:lastModifiedBy>Susan Oertel</cp:lastModifiedBy>
  <cp:revision>2</cp:revision>
  <dcterms:created xsi:type="dcterms:W3CDTF">2026-01-01T19:42:00Z</dcterms:created>
  <dcterms:modified xsi:type="dcterms:W3CDTF">2026-01-01T19:42:00Z</dcterms:modified>
</cp:coreProperties>
</file>